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598C" w14:textId="63637D41" w:rsidR="001F1C47" w:rsidRPr="00A34CE6" w:rsidRDefault="00A34CE6" w:rsidP="00A34CE6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proofErr w:type="spellStart"/>
      <w:r w:rsidRPr="00A34CE6">
        <w:rPr>
          <w:rFonts w:ascii="Garamond" w:hAnsi="Garamond"/>
          <w:b/>
          <w:bCs/>
          <w:sz w:val="28"/>
          <w:szCs w:val="28"/>
          <w:lang w:val="en-GB"/>
        </w:rPr>
        <w:t>Perguntas-tipo</w:t>
      </w:r>
      <w:proofErr w:type="spellEnd"/>
      <w:r w:rsidRPr="00A34CE6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proofErr w:type="spellStart"/>
      <w:r w:rsidRPr="00A34CE6">
        <w:rPr>
          <w:rFonts w:ascii="Garamond" w:hAnsi="Garamond"/>
          <w:b/>
          <w:bCs/>
          <w:sz w:val="28"/>
          <w:szCs w:val="28"/>
          <w:lang w:val="en-GB"/>
        </w:rPr>
        <w:t>exame</w:t>
      </w:r>
      <w:proofErr w:type="spellEnd"/>
      <w:r w:rsidRPr="00A34CE6">
        <w:rPr>
          <w:rFonts w:ascii="Garamond" w:hAnsi="Garamond"/>
          <w:b/>
          <w:bCs/>
          <w:sz w:val="28"/>
          <w:szCs w:val="28"/>
          <w:lang w:val="en-GB"/>
        </w:rPr>
        <w:t xml:space="preserve"> AIPP</w:t>
      </w:r>
    </w:p>
    <w:p w14:paraId="7AC91368" w14:textId="54139868" w:rsidR="00A34CE6" w:rsidRPr="00A34CE6" w:rsidRDefault="00A34CE6" w:rsidP="00A34CE6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A34CE6">
        <w:rPr>
          <w:rFonts w:ascii="Garamond" w:hAnsi="Garamond"/>
          <w:b/>
          <w:bCs/>
          <w:sz w:val="28"/>
          <w:szCs w:val="28"/>
          <w:lang w:val="en-GB"/>
        </w:rPr>
        <w:t>2024</w:t>
      </w:r>
    </w:p>
    <w:p w14:paraId="0ECAC2FA" w14:textId="01631027" w:rsidR="00A34CE6" w:rsidRPr="00A34CE6" w:rsidRDefault="00A34CE6" w:rsidP="00A34CE6">
      <w:pPr>
        <w:spacing w:after="0"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506F6070" w14:textId="5BD39256" w:rsidR="00A34CE6" w:rsidRPr="00A34CE6" w:rsidRDefault="00A34CE6" w:rsidP="00A34CE6">
      <w:pPr>
        <w:spacing w:after="0"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505A55E0" w14:textId="77777777" w:rsidR="00A34CE6" w:rsidRPr="00A34CE6" w:rsidRDefault="00A34CE6" w:rsidP="00A34CE6">
      <w:pPr>
        <w:spacing w:after="0" w:line="36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A. </w:t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 Falso</w:t>
      </w:r>
    </w:p>
    <w:p w14:paraId="349D5EA6" w14:textId="18CE755F" w:rsid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cuidado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pois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todo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crédito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depende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nota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depende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inteiramente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conteúdo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justificação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responder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”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“Falso”. Note que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possível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responder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cada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questão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receber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nota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completa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três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frases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linhas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serão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avaliadas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0F5371ED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1444CBD7" w14:textId="01E2B9F6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Como o mercado livre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oferece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resultados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eficientes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há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bons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fundamentos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teóricos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Governos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tenham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intervenção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economia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Falso,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existem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dois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papéis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governo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: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abordar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falhas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mercado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situações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mercado livre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falha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fornecer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resultados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eficientes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abordar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desigualdade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através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transferências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1631A809" w14:textId="77777777" w:rsidR="00A34CE6" w:rsidRPr="00A34CE6" w:rsidRDefault="00A34CE6" w:rsidP="00A34CE6">
      <w:pPr>
        <w:spacing w:after="0" w:line="36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2E4CC029" w14:textId="0A080D08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Se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sociedade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preocupa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desigualdade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teoria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ótimo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diz-nos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governo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fornecer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transferência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básica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aqueles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mas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transferência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eliminada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rapidamente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medida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modelo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básico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ótimo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indivíduos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respondem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longo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margem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intensiva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indivíduos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respondem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longo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margem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extensiva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conclusão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invertida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Nesse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caso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desejável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taxas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baixas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eliminação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gradual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fornecer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fortes para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trabalhadores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baixos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exemplo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usando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transferências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tipo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EITC).</w:t>
      </w:r>
    </w:p>
    <w:p w14:paraId="71E8A260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5174C28E" w14:textId="77777777" w:rsidR="00A34CE6" w:rsidRP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contribuintes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alto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facilmente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evadir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taxa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máxima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baixa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num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sentido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restrito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Se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sistema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tributário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for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considerado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fixo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única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ferramenta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política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for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alteração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taxa,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taxas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elevadas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máximo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desejáveis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elasticidade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evasão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fiscal for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elevada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governo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reduzir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evasão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/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elasticidade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eliminando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brechas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fiscais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Depois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base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tributária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torna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-se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elástica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possível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ricos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forma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eficaz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07589D60" w14:textId="5B622574" w:rsidR="00A34CE6" w:rsidRDefault="005F3B7D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lastRenderedPageBreak/>
        <w:t xml:space="preserve">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e</w:t>
      </w:r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vidência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concentração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torno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primeiro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ponto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inflexão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implica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modelo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económico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padrão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funciona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nesse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en-GB" w:eastAsia="en-GB"/>
        </w:rPr>
        <w:t>contexto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="00A34CE6"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Falso.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Embora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seja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concentração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primeiro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ponto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inflexão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é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prevista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pelo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modelo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económico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padrão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evidências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mostra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concentração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provém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trabalhadores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independentes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há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tal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concentração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assalariados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puros). Como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resultado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concentração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surge dos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trabalhadores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independentes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reportam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maximizar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reembolsos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fiscais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(pois a </w:t>
      </w:r>
      <w:r w:rsidR="003211CC">
        <w:rPr>
          <w:rFonts w:ascii="Garamond" w:eastAsia="Times New Roman" w:hAnsi="Garamond" w:cs="Times New Roman"/>
          <w:sz w:val="24"/>
          <w:szCs w:val="24"/>
          <w:lang w:val="en-GB" w:eastAsia="en-GB"/>
        </w:rPr>
        <w:t>AT</w:t>
      </w:r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tem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maneira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fácil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verificar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).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Portanto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isso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um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fenómeno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evasão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fiscal,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="00A34CE6"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45F5305E" w14:textId="77777777" w:rsidR="00A34CE6" w:rsidRPr="00A34CE6" w:rsidRDefault="00A34CE6" w:rsidP="00A34CE6">
      <w:pPr>
        <w:spacing w:after="0" w:line="36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6D9A32E8" w14:textId="42B69D1D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Bens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cuja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procura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inelástica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preço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cuja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procura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inelástica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produz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relativamente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r w:rsidR="003211CC" w:rsidRPr="005F3B7D">
        <w:rPr>
          <w:rFonts w:ascii="Garamond" w:eastAsia="Times New Roman" w:hAnsi="Garamond" w:cs="Times New Roman"/>
          <w:i/>
          <w:iCs/>
          <w:sz w:val="24"/>
          <w:szCs w:val="24"/>
          <w:lang w:val="en-GB" w:eastAsia="en-GB"/>
        </w:rPr>
        <w:t>deadweight loss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se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objetivo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arrecadar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minimizar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de facto, bens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cuja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procura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inelástica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preço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regra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Ramsey”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considera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questões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redistributivas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Por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exemplo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pobres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usar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seus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carros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áreas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rurais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velhos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precisam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medicamentos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33F28F65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4F9FCF9D" w14:textId="23710ED7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Crédito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(EITC)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Estados Unidos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provavelmente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desencoraja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média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pois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maioria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beneficiários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está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faixa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estabilização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5F3B7D"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eliminação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gradual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Falso: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longo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margem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intensiva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o EITC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desencoraja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estabilização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eliminação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gradual, mas o EITC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claramente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longo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margem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extensiva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6391196D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40EC9213" w14:textId="41D337A8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custos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eficiência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o tempo,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medida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cada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indivíduos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descobrem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manipular o EITC.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Chetty, Friedman e Saez (2013, AER)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mostram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fraude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através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independente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maximizar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reembolso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longo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tempo.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Isso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sugere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custos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eficiência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comportamentais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o tempo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medida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informação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estrutura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EITC 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difunde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5F0AF08F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4EACCD26" w14:textId="54B21B38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lastRenderedPageBreak/>
        <w:t xml:space="preserve">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evidências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vencedores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loterias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mostram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existem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substanciais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Evidências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empíricas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mostram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negativos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ganhos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loterias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oferta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Imbens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et al. AER 2001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Estados Unidos [e Cesarini et al. (2015) para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Suécia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]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apresentam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evidências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convincentes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comparando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vencedores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vencedores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condicionados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jogar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magnitude dos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bastante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pequena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: $1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reduz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cerca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$0,1,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empíricos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substanciais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”.</w:t>
      </w:r>
    </w:p>
    <w:p w14:paraId="4FCB1E1E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56471A5F" w14:textId="00381512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2000, o principal motor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disparidade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género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diferenças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nível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educacional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entre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homens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mulheres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Falso.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2000,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educação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geralmente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o capital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humano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explicar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muito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disparidade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salarial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género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Escolhas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setor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ocupação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penalidade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filhos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artigos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Kleven, Landais, et al.)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fatores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disparidade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salarial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género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028D0359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00CB9A1D" w14:textId="293ECCC0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Se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desigualdade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viesse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inteiramente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capital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zero.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Falso.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Mesmo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herança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desempenhasse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papel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ainda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haveria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razões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práticas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capital. Na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prática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exemplo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é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fácil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decompor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fluxos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componentes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puros de L e K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pense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Mark Zuckerberg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Elon Musk).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evitar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deslocação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tratamento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fiscal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diferencial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L e K,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capital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positivo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caso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extremo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onde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governo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distinguir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entre L e K,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taxas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marginais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L e K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deveriam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iguais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694198F8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1DE3F7B8" w14:textId="678537F2" w:rsidR="00A34CE6" w:rsidRDefault="00A34CE6" w:rsidP="00A34CE6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Instituições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mercado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desempenharam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papel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desigualdade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salarial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EUA.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SOLUÇÃO: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Verdadeiro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salário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mínimo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sindicatos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mercado,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globalização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acesso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ensino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superior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todos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exemplos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instituições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afetaram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maneira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outra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desigualdade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salarial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7CC01FDE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4DA315A0" w14:textId="440EC519" w:rsidR="00A34CE6" w:rsidRDefault="00A34CE6" w:rsidP="00A34CE6">
      <w:pPr>
        <w:spacing w:after="0" w:line="36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B. </w:t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Outras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perguntas</w:t>
      </w:r>
      <w:proofErr w:type="spellEnd"/>
    </w:p>
    <w:p w14:paraId="05AC2295" w14:textId="77777777" w:rsidR="00A34CE6" w:rsidRPr="00A34CE6" w:rsidRDefault="00A34CE6" w:rsidP="00A34CE6">
      <w:pPr>
        <w:spacing w:after="0" w:line="36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</w:pPr>
    </w:p>
    <w:p w14:paraId="048180EB" w14:textId="10A299DC" w:rsidR="00A34CE6" w:rsidRDefault="00A34CE6" w:rsidP="00A34CE6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lastRenderedPageBreak/>
        <w:t>Explique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próprias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palavras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r w:rsidR="003211CC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o </w:t>
      </w:r>
      <w:r w:rsidR="003211CC" w:rsidRPr="003211CC">
        <w:rPr>
          <w:rFonts w:ascii="Garamond" w:eastAsia="Times New Roman" w:hAnsi="Garamond" w:cs="Times New Roman"/>
          <w:i/>
          <w:iCs/>
          <w:sz w:val="24"/>
          <w:szCs w:val="24"/>
          <w:lang w:val="en-GB" w:eastAsia="en-GB"/>
        </w:rPr>
        <w:t>trade-off</w:t>
      </w:r>
      <w:r w:rsidR="003211CC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entre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equidade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eficiência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Existem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dois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Por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há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mecânico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Tudo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resto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constante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elevados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implicam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alta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também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exemplo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reduzindo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trabalho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 e,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introduz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comportamentais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”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atuam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sentido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Quanto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alta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taxa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mecânico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mas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também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respostas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comportamentais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111429E4" w14:textId="77777777" w:rsidR="00A34CE6" w:rsidRPr="00A34CE6" w:rsidRDefault="00A34CE6" w:rsidP="00A34CE6">
      <w:pPr>
        <w:spacing w:after="0" w:line="36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773B74CF" w14:textId="4D97B957" w:rsidR="00A34CE6" w:rsidRDefault="00A34CE6" w:rsidP="00A34CE6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Considere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Yagan (2015, AER)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corte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dividendos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2003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decisões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investimento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corporativo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principal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diferença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entre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S-corporation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C-corporation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diferença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explorada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avaliar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política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C-corporation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enfrenta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dupla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: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lucro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corporativo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seguida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individual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dividendos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pagos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acionistas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realizam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ganhos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capital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vender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ações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As S-corporations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entidades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repasse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cujos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lucros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tributados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exclusivamente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diretamente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nível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individual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rendimento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negócios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Portanto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as S-corporations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corte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dividendos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2003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ser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usadas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grupo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controlo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estimar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 as C-corporations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mudaram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comportamento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investimento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contexto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DD. Yagan (2015)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encontra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efeitos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corte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impostos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dividendos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comportamento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investimento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das C-corporations.</w:t>
      </w:r>
    </w:p>
    <w:p w14:paraId="50AE0A35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32864DE7" w14:textId="77777777" w:rsidR="00A34CE6" w:rsidRDefault="00A34CE6" w:rsidP="00A34CE6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Considere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Naritomi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(2019, AER)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quase-experimento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natural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usando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dados de São Paulo.</w:t>
      </w:r>
    </w:p>
    <w:p w14:paraId="3EFD274E" w14:textId="3C12A665" w:rsid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  <w:t xml:space="preserve">a)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Nota Fiscal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Paulista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(NFP)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utiliza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auditores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fiscais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”. Qual é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ideia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geral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trás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disso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?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IVA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enfrenta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problema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 “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última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milha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”.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seja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propriedade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auto-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fiscalização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IVA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quebra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-se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etapa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final.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Normalmente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há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benefício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pedir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Como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há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que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emitam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sub-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relatem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finais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O NFP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introduz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incentivo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monetário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pedirem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: um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bilhete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loteria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com o qual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ganhar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prémios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monetários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162C49A9" w14:textId="77777777" w:rsidR="00A34CE6" w:rsidRDefault="00A34CE6" w:rsidP="00A34CE6">
      <w:pPr>
        <w:pStyle w:val="ListParagrap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77FF3F4C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1F890962" w14:textId="7D5147C5" w:rsid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b)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Explique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como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artigo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identifica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impacto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NFP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sobre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reportadas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usando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dados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setoriais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Embora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NFP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todos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="003211CC">
        <w:rPr>
          <w:rFonts w:ascii="Garamond" w:eastAsia="Times New Roman" w:hAnsi="Garamond" w:cs="Times New Roman"/>
          <w:sz w:val="24"/>
          <w:szCs w:val="24"/>
          <w:lang w:val="en-GB" w:eastAsia="en-GB"/>
        </w:rPr>
        <w:t>agentes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forma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igual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contribuintes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afetados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forma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artigo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explora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facto de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grossistas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outras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menos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programa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NFP do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retalhistas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principalmente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).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Naritomi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usa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análise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diferenças-em-diferenças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investigar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diferenças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mudanças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reportadas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entre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retalhistas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grossistas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72CC9679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</w:p>
    <w:p w14:paraId="095364AE" w14:textId="77777777" w:rsidR="00A34CE6" w:rsidRPr="00A34CE6" w:rsidRDefault="00A34CE6" w:rsidP="00A34CE6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c) Quais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hipóteses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identificação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?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hipóteses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plausíveis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contexto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estudado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? Qual é a principal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preocupação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relação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estratégia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identificação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?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Resposta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:</w:t>
      </w:r>
    </w:p>
    <w:p w14:paraId="5F4A26D3" w14:textId="77777777" w:rsidR="00A34CE6" w:rsidRPr="00A34CE6" w:rsidRDefault="00A34CE6" w:rsidP="00A34CE6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Suposição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tendência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paralela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-&gt;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Figura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2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painel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esquerdo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)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mostra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as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mudanças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receitas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reportadas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acompanham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-se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perto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até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implementação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do NFP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exceto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padrões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sazonalidade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ligeiramente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diferentes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;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série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temporal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retalho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exibe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picos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dezembro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).</w:t>
      </w:r>
    </w:p>
    <w:p w14:paraId="3AC04EA9" w14:textId="77777777" w:rsidR="00A34CE6" w:rsidRPr="00A34CE6" w:rsidRDefault="00A34CE6" w:rsidP="00A34CE6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Nenhum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choque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afete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heterogeneamente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retalho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grossistas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-&gt;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Difícil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testar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indicação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tais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choques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heterogéneos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</w:p>
    <w:p w14:paraId="7E967358" w14:textId="77777777" w:rsidR="00A34CE6" w:rsidRPr="00A34CE6" w:rsidRDefault="00A34CE6" w:rsidP="00A34CE6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val="en-GB" w:eastAsia="en-GB"/>
        </w:rPr>
      </w:pP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Nenhuma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seleção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no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tratamento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-&gt;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Improvável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que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uma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empresa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tenha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escolhido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o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seu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tipo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negócio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tipo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cliente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antecipação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à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política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.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br/>
      </w:r>
      <w:proofErr w:type="spellStart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>Preocupação</w:t>
      </w:r>
      <w:proofErr w:type="spellEnd"/>
      <w:r w:rsidRPr="00A34CE6">
        <w:rPr>
          <w:rFonts w:ascii="Garamond" w:eastAsia="Times New Roman" w:hAnsi="Garamond" w:cs="Times New Roman"/>
          <w:b/>
          <w:bCs/>
          <w:sz w:val="24"/>
          <w:szCs w:val="24"/>
          <w:lang w:val="en-GB" w:eastAsia="en-GB"/>
        </w:rPr>
        <w:t xml:space="preserve"> com DD:</w:t>
      </w:r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grossistas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também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vendem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para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. 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esses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consumidores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habituaram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pedir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,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grossistas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também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recebem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mais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pedidos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recibos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(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controlo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parcialmente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 xml:space="preserve"> </w:t>
      </w:r>
      <w:proofErr w:type="spellStart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tratado</w:t>
      </w:r>
      <w:proofErr w:type="spellEnd"/>
      <w:r w:rsidRPr="00A34CE6">
        <w:rPr>
          <w:rFonts w:ascii="Garamond" w:eastAsia="Times New Roman" w:hAnsi="Garamond" w:cs="Times New Roman"/>
          <w:sz w:val="24"/>
          <w:szCs w:val="24"/>
          <w:lang w:val="en-GB" w:eastAsia="en-GB"/>
        </w:rPr>
        <w:t>).</w:t>
      </w:r>
    </w:p>
    <w:p w14:paraId="5EA1D6E4" w14:textId="77777777" w:rsidR="00A34CE6" w:rsidRPr="00A34CE6" w:rsidRDefault="00A34CE6" w:rsidP="00A34CE6">
      <w:pPr>
        <w:spacing w:after="0"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792AFE19" w14:textId="77777777" w:rsidR="00A34CE6" w:rsidRPr="00A34CE6" w:rsidRDefault="00A34CE6" w:rsidP="00A34CE6">
      <w:pPr>
        <w:spacing w:after="0"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353368FC" w14:textId="104F525B" w:rsidR="00A34CE6" w:rsidRPr="00A34CE6" w:rsidRDefault="00A34CE6" w:rsidP="00A34CE6">
      <w:pPr>
        <w:spacing w:after="0"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E17397C" w14:textId="77777777" w:rsidR="00A34CE6" w:rsidRPr="00A34CE6" w:rsidRDefault="00A34CE6" w:rsidP="00A34CE6">
      <w:pPr>
        <w:spacing w:after="0" w:line="360" w:lineRule="auto"/>
        <w:rPr>
          <w:rFonts w:ascii="Garamond" w:hAnsi="Garamond"/>
          <w:sz w:val="24"/>
          <w:szCs w:val="24"/>
          <w:lang w:val="en-GB"/>
        </w:rPr>
      </w:pPr>
    </w:p>
    <w:sectPr w:rsidR="00A34CE6" w:rsidRPr="00A34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292A"/>
    <w:multiLevelType w:val="multilevel"/>
    <w:tmpl w:val="C1BC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35DA2"/>
    <w:multiLevelType w:val="multilevel"/>
    <w:tmpl w:val="D66C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25532"/>
    <w:multiLevelType w:val="multilevel"/>
    <w:tmpl w:val="38AC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774680">
    <w:abstractNumId w:val="2"/>
  </w:num>
  <w:num w:numId="2" w16cid:durableId="619384031">
    <w:abstractNumId w:val="1"/>
  </w:num>
  <w:num w:numId="3" w16cid:durableId="10141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E6"/>
    <w:rsid w:val="000F47C0"/>
    <w:rsid w:val="001F1C47"/>
    <w:rsid w:val="003211CC"/>
    <w:rsid w:val="005F3B7D"/>
    <w:rsid w:val="00A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F470"/>
  <w15:chartTrackingRefBased/>
  <w15:docId w15:val="{C5160CA1-C25A-4064-8F51-5F780208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A34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4C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3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34CE6"/>
    <w:rPr>
      <w:b/>
      <w:bCs/>
    </w:rPr>
  </w:style>
  <w:style w:type="paragraph" w:styleId="ListParagraph">
    <w:name w:val="List Paragraph"/>
    <w:basedOn w:val="Normal"/>
    <w:uiPriority w:val="34"/>
    <w:qFormat/>
    <w:rsid w:val="00A3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 dos Santos</dc:creator>
  <cp:keywords/>
  <dc:description/>
  <cp:lastModifiedBy>João Pereira dos Santos</cp:lastModifiedBy>
  <cp:revision>3</cp:revision>
  <dcterms:created xsi:type="dcterms:W3CDTF">2024-11-11T15:22:00Z</dcterms:created>
  <dcterms:modified xsi:type="dcterms:W3CDTF">2024-11-12T18:39:00Z</dcterms:modified>
</cp:coreProperties>
</file>